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والبـحث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جـــــهاز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الإشـــــراف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والتقـــويم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العلــمي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والاقتصاد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2197735</wp:posOffset>
            </wp:positionH>
            <wp:positionV relativeFrom="paragraph">
              <wp:posOffset>294640</wp:posOffset>
            </wp:positionV>
            <wp:extent cx="1807210" cy="460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46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:11/4/2022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: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دقـق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24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إيجازا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مقتضيا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ومخرجات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تحقيقها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مبرهنا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القصوى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0" w:right="-4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-335" w:right="-4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5940"/>
        <w:tblGridChange w:id="0">
          <w:tblGrid>
            <w:gridCol w:w="3780"/>
            <w:gridCol w:w="5940"/>
          </w:tblGrid>
        </w:tblGridChange>
      </w:tblGrid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hanging="28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والاقتصاد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أشكال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حضوري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الكورس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الاول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2012/11/21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وتنمية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بأهمية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وفروعها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واهمية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لتوفير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والازمات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وحساب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النفقات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والايرادات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والموازنة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بأساس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والخاصة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اهمية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لزيادة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المنافع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والخاصة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اهمية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p>
        </w:tc>
      </w:tr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ماهية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تكوين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أفكارهم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63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1 -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2 -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وتحديد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القضايا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المرتبطة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بالقطاع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والموازنات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نقاشية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الوجدانية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والقيمية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لأداء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تركيزه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اكتساب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المتمكنين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والذين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يمتلكون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سرعة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البديهة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بالمادة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12"/>
              </w:tabs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نحو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يشعر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بأهمية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الفاعلة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التزام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وتحمله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المسؤولية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بالموعد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المحدد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تعبر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الفصلية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والنهائية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والتحصيل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1"/>
              </w:rPr>
              <w:t xml:space="preserve">والمهارى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والتأهيلية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المنقولة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بقابلية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والتطور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بالقطاع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واستيعاب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اهمية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الناحية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  <w:tblGridChange w:id="0">
          <w:tblGrid>
            <w:gridCol w:w="1260"/>
            <w:gridCol w:w="1260"/>
            <w:gridCol w:w="2160"/>
            <w:gridCol w:w="2160"/>
            <w:gridCol w:w="1440"/>
            <w:gridCol w:w="144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32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الفكرية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الفكرية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الربع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عناصر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الايرادات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الموازنة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السابع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تقسيمات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الثامن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ظاهرة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تزايد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النفقات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والتفسيرات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التاسع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الاثار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للنفقات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العاشر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الايرادات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معايير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التمييز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الضرائب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المباشرة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الموازنة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الفصلي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مراجعه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نضري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7"/>
        <w:gridCol w:w="5713"/>
        <w:tblGridChange w:id="0">
          <w:tblGrid>
            <w:gridCol w:w="4007"/>
            <w:gridCol w:w="5713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52"/>
                <w:tab w:val="left" w:pos="432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التحتية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 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ميثم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العيبي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اسماعيل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هشام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عصام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الخضر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سعود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المستنصرية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2021</w:t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يوصى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    (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,....  )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الانترنيت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7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mbria"/>
  <w:font w:name="Simplified Arabic"/>
  <w:font w:name="TraditionalArabic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643" w:hanging="360"/>
      </w:pPr>
      <w:rPr>
        <w:rFonts w:ascii="TraditionalArabic" w:cs="TraditionalArabic" w:eastAsia="TraditionalArabic" w:hAnsi="TraditionalArabic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0"/>
      <w:numFmt w:val="decimal"/>
      <w:lvlText w:val="%1."/>
      <w:lvlJc w:val="left"/>
      <w:pPr>
        <w:ind w:left="73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